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3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盛泽实验小学教育集团岗位晋级实施意见（202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1.优先晋级聘任（按批排序；同批按分排序）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（1）苏州市学科带头人及以上骨干且考核合格者；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（2）班主任工作20年且2次获得区级及以上优秀班主任称号者；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（3）职级年限10年及以上且考核合格者。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2.积分晋级聘任（按分排序）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79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职级年限未满10年者，按照积分排序晋级；(具体详见《盛泽实验小学教育集团教师岗位晋级评审积分表》);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3.暂缓晋级聘任（有下列情况之一）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（1）在立案审查人员；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（2）三年以内，受党内严重警告或行政记过处分；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199" w:right="0" w:hanging="7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（3）三年以内，工作严重失职、渎职，造成重大责任事故，严重违反《中小学教师职业道德规范》，影响坏，群众意见大；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（4）上年度任职考核基本合格、不合格或未参加考核；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（5）竞聘前连续病休一年及以上；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（6）不承担学校安排的工作任务或课务不达标，不服从组织的工作调动。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晋级聘任工作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（1）已晋级人员申请调动至其他学校，自动解除原有岗位级别；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（2）调入至本校的教师，要视本校有无对应的空岗位后才可进行聘任；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59" w:right="0" w:hanging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（3）学校与受聘人员在平等自愿、协商一致的基础上签订聘用合同，明确受聘岗位职责要求、工作条件、工资待遇、岗位纪律、聘用合同变更、解除和终止的条件以及聘用合同期限等。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TEzNTMwNGNhOWUyOWE0YjRjNjUxZTUzYTAwYzYifQ=="/>
  </w:docVars>
  <w:rsids>
    <w:rsidRoot w:val="15921DA8"/>
    <w:rsid w:val="08B6082E"/>
    <w:rsid w:val="15921DA8"/>
    <w:rsid w:val="70AF6A33"/>
    <w:rsid w:val="76A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514</Characters>
  <Lines>0</Lines>
  <Paragraphs>0</Paragraphs>
  <TotalTime>1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2022-07-08T12:17:00Z</dcterms:created>
  <dc:creator>杨丽敏 </dc:creator>
  <cp:lastModifiedBy>杨丽敏 </cp:lastModifiedBy>
  <dcterms:modified xsi:type="dcterms:W3CDTF">2024-06-30T00:43:10Z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5A1705B14D334E8F8ED4FB52FAB3F6E3</vt:lpwstr>
  </property>
</Properties>
</file>